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BB7C" w14:textId="41FBA200" w:rsidR="00ED0078" w:rsidRDefault="00ED0078" w:rsidP="00ED0078">
      <w:pPr>
        <w:spacing w:line="360" w:lineRule="auto"/>
        <w:jc w:val="right"/>
        <w:rPr>
          <w:rFonts w:ascii="Century Gothic" w:hAnsi="Century Gothic"/>
        </w:rPr>
      </w:pPr>
      <w:r w:rsidRPr="003A7963">
        <w:rPr>
          <w:rFonts w:cs="Arial"/>
          <w:noProof/>
          <w:lang w:eastAsia="en-GB"/>
        </w:rPr>
        <w:drawing>
          <wp:inline distT="0" distB="0" distL="0" distR="0" wp14:anchorId="6D82BF73" wp14:editId="4BF79CBB">
            <wp:extent cx="2551430" cy="702166"/>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537C224D" w14:textId="3A73E959" w:rsidR="00006720" w:rsidRDefault="5384A253" w:rsidP="5384A253">
      <w:pPr>
        <w:spacing w:line="360" w:lineRule="auto"/>
        <w:jc w:val="center"/>
        <w:rPr>
          <w:rFonts w:ascii="Century Gothic" w:hAnsi="Century Gothic"/>
          <w:b/>
          <w:bCs/>
          <w:color w:val="1F497D" w:themeColor="text2"/>
          <w:sz w:val="48"/>
          <w:szCs w:val="48"/>
        </w:rPr>
      </w:pPr>
      <w:r w:rsidRPr="5384A253">
        <w:rPr>
          <w:rFonts w:ascii="Century Gothic" w:hAnsi="Century Gothic"/>
          <w:b/>
          <w:bCs/>
          <w:color w:val="1F497D" w:themeColor="text2"/>
          <w:sz w:val="48"/>
          <w:szCs w:val="48"/>
        </w:rPr>
        <w:t>Tywardreath School</w:t>
      </w:r>
    </w:p>
    <w:p w14:paraId="26AE4536" w14:textId="6CBC28E3" w:rsidR="5384A253" w:rsidRDefault="5384A253" w:rsidP="5384A253">
      <w:pPr>
        <w:spacing w:line="360" w:lineRule="auto"/>
        <w:jc w:val="center"/>
        <w:rPr>
          <w:rFonts w:ascii="Century Gothic" w:hAnsi="Century Gothic"/>
          <w:b/>
          <w:bCs/>
          <w:color w:val="1F497D" w:themeColor="text2"/>
          <w:sz w:val="48"/>
          <w:szCs w:val="48"/>
        </w:rPr>
      </w:pPr>
      <w:r w:rsidRPr="5384A253">
        <w:rPr>
          <w:rFonts w:ascii="Century Gothic" w:hAnsi="Century Gothic"/>
          <w:b/>
          <w:bCs/>
          <w:color w:val="1F497D" w:themeColor="text2"/>
          <w:sz w:val="48"/>
          <w:szCs w:val="48"/>
        </w:rPr>
        <w:t>Uniform and Appearance Policy</w:t>
      </w: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20DEBF3F" w14:textId="794AB0A4" w:rsidR="002A199D" w:rsidRDefault="00006720" w:rsidP="5384A253">
      <w:pPr>
        <w:spacing w:line="360" w:lineRule="auto"/>
        <w:jc w:val="both"/>
        <w:rPr>
          <w:rFonts w:ascii="Arial" w:hAnsi="Arial" w:cs="Arial"/>
          <w:b/>
          <w:bCs/>
        </w:rPr>
      </w:pPr>
      <w:r>
        <w:br/>
      </w:r>
      <w:r w:rsidRPr="5384A253">
        <w:rPr>
          <w:rFonts w:ascii="Arial" w:hAnsi="Arial" w:cs="Arial"/>
          <w:b/>
          <w:bCs/>
        </w:rPr>
        <w:t>Dissemination:</w:t>
      </w:r>
      <w:r w:rsidRPr="5384A253">
        <w:rPr>
          <w:rFonts w:ascii="Arial" w:hAnsi="Arial" w:cs="Arial"/>
        </w:rPr>
        <w:t xml:space="preserve">  </w:t>
      </w:r>
      <w:r>
        <w:br/>
      </w:r>
      <w:r w:rsidRPr="5384A253">
        <w:rPr>
          <w:rFonts w:ascii="Arial" w:hAnsi="Arial" w:cs="Arial"/>
          <w:b/>
          <w:bCs/>
        </w:rPr>
        <w:t>Date policy</w:t>
      </w:r>
      <w:r w:rsidR="00795893" w:rsidRPr="5384A253">
        <w:rPr>
          <w:rFonts w:ascii="Arial" w:hAnsi="Arial" w:cs="Arial"/>
          <w:b/>
          <w:bCs/>
        </w:rPr>
        <w:t xml:space="preserve"> </w:t>
      </w:r>
      <w:r w:rsidRPr="5384A253">
        <w:rPr>
          <w:rFonts w:ascii="Arial" w:hAnsi="Arial" w:cs="Arial"/>
          <w:b/>
          <w:bCs/>
        </w:rPr>
        <w:t>approved by Governors: April 2022</w:t>
      </w:r>
      <w:r>
        <w:br/>
      </w:r>
      <w:r w:rsidRPr="5384A253">
        <w:rPr>
          <w:rFonts w:ascii="Arial" w:hAnsi="Arial" w:cs="Arial"/>
          <w:b/>
          <w:bCs/>
        </w:rPr>
        <w:t>Date policy becomes effective:</w:t>
      </w:r>
      <w:r w:rsidRPr="5384A253">
        <w:rPr>
          <w:rFonts w:ascii="Arial" w:hAnsi="Arial" w:cs="Arial"/>
        </w:rPr>
        <w:t xml:space="preserve">  Immediately</w:t>
      </w:r>
      <w:r>
        <w:br/>
      </w:r>
      <w:r w:rsidRPr="5384A253">
        <w:rPr>
          <w:rFonts w:ascii="Arial" w:hAnsi="Arial" w:cs="Arial"/>
          <w:b/>
          <w:bCs/>
        </w:rPr>
        <w:t xml:space="preserve">Review date:  </w:t>
      </w:r>
      <w:r w:rsidR="002274F6" w:rsidRPr="5384A253">
        <w:rPr>
          <w:rFonts w:ascii="Arial" w:hAnsi="Arial" w:cs="Arial"/>
        </w:rPr>
        <w:t>(2 years from approval)</w:t>
      </w: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0507BC" w:rsidRDefault="007C5954" w:rsidP="000507BC">
      <w:pPr>
        <w:autoSpaceDE w:val="0"/>
        <w:autoSpaceDN w:val="0"/>
        <w:adjustRightInd w:val="0"/>
        <w:spacing w:after="0" w:line="360" w:lineRule="auto"/>
        <w:rPr>
          <w:rFonts w:ascii="Arial" w:hAnsi="Arial" w:cs="Arial"/>
          <w:b/>
          <w:bCs/>
        </w:rPr>
      </w:pPr>
    </w:p>
    <w:p w14:paraId="24D13C0A" w14:textId="7700F117" w:rsidR="00596C82" w:rsidRDefault="00F15602" w:rsidP="008E3946">
      <w:pPr>
        <w:spacing w:line="360" w:lineRule="auto"/>
        <w:jc w:val="both"/>
        <w:rPr>
          <w:rFonts w:ascii="Arial" w:hAnsi="Arial" w:cs="Arial"/>
        </w:rPr>
      </w:pPr>
      <w:r>
        <w:rPr>
          <w:rFonts w:ascii="Arial" w:hAnsi="Arial" w:cs="Arial"/>
          <w:bCs/>
        </w:rPr>
        <w:t xml:space="preserve">This policy has been put in place </w:t>
      </w:r>
      <w:r w:rsidRPr="00D27D6E">
        <w:rPr>
          <w:rFonts w:ascii="Arial" w:hAnsi="Arial" w:cs="Arial"/>
        </w:rPr>
        <w:t xml:space="preserve">to ensure that </w:t>
      </w:r>
      <w:r w:rsidR="008E3946">
        <w:rPr>
          <w:rFonts w:ascii="Arial" w:hAnsi="Arial" w:cs="Arial"/>
        </w:rPr>
        <w:t xml:space="preserve">the School’s requirements for student uniform and appearance are aligned with the revised Department for Education Guidance (Statutory and Non-Statutory 2021). This policy complies with the Human Rights Act 1998 and Equality Act 2010 and takes into account key considerations such as safeguarding and health and safety. </w:t>
      </w:r>
    </w:p>
    <w:p w14:paraId="4AE6D398" w14:textId="1620B261" w:rsidR="008E3946" w:rsidRDefault="008E3946" w:rsidP="008E3946">
      <w:pPr>
        <w:spacing w:line="360" w:lineRule="auto"/>
        <w:jc w:val="both"/>
        <w:rPr>
          <w:rFonts w:ascii="Arial" w:hAnsi="Arial" w:cs="Arial"/>
        </w:rPr>
      </w:pPr>
      <w:r>
        <w:rPr>
          <w:rFonts w:ascii="Arial" w:hAnsi="Arial" w:cs="Arial"/>
        </w:rPr>
        <w:t>Our Governing Body decides what the School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 sense of belonging, community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F6323E6" w:rsidR="008E3946" w:rsidRDefault="008E3946" w:rsidP="008E3946">
      <w:pPr>
        <w:spacing w:line="360" w:lineRule="auto"/>
        <w:jc w:val="both"/>
        <w:rPr>
          <w:rFonts w:ascii="Arial" w:hAnsi="Arial" w:cs="Arial"/>
        </w:rPr>
      </w:pPr>
      <w:r>
        <w:rPr>
          <w:rFonts w:ascii="Arial" w:hAnsi="Arial" w:cs="Arial"/>
        </w:rPr>
        <w:lastRenderedPageBreak/>
        <w:t xml:space="preserve">In reviewing and implementing this policy, Governors will take into account the views of parents and </w:t>
      </w:r>
      <w:r w:rsidR="002274F6">
        <w:rPr>
          <w:rFonts w:ascii="Arial" w:hAnsi="Arial" w:cs="Arial"/>
        </w:rPr>
        <w:t>pupils</w:t>
      </w:r>
      <w:r>
        <w:rPr>
          <w:rFonts w:ascii="Arial" w:hAnsi="Arial" w:cs="Arial"/>
        </w:rPr>
        <w:t xml:space="preserve"> when making any significant changes. Governors will also take into account: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How comfortable the uniform will be for students</w:t>
      </w:r>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t>How practical the uniform is in classroom settings, including those where practical work is required</w:t>
      </w:r>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a PE kit must be practical, comfortable and appropriate to the activities and affordable</w:t>
      </w:r>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no</w:t>
      </w:r>
      <w:r w:rsidR="00456C49">
        <w:rPr>
          <w:rFonts w:ascii="Arial" w:hAnsi="Arial" w:cs="Arial"/>
          <w:color w:val="FF0000"/>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low income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are able to wear the uniform and have the appropriate appearance. </w:t>
      </w:r>
    </w:p>
    <w:p w14:paraId="35B10CBF" w14:textId="3F60D5EF"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 or Beliefs</w:t>
      </w:r>
    </w:p>
    <w:p w14:paraId="64AD0F70" w14:textId="012D43C6" w:rsidR="00850DA3" w:rsidRDefault="00850DA3" w:rsidP="00850DA3">
      <w:pPr>
        <w:spacing w:line="360" w:lineRule="auto"/>
        <w:jc w:val="both"/>
        <w:rPr>
          <w:rFonts w:ascii="Arial" w:hAnsi="Arial" w:cs="Arial"/>
        </w:rPr>
      </w:pPr>
      <w:r>
        <w:rPr>
          <w:rFonts w:ascii="Arial" w:hAnsi="Arial" w:cs="Arial"/>
        </w:rPr>
        <w:t>Some religions or beliefs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region or belief, but not necessarily at all times,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races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lastRenderedPageBreak/>
        <w:t>This policy ensures that no particular group (including those with protected characteristics) is impacted unfairly</w:t>
      </w:r>
      <w:r w:rsidR="00451520">
        <w:rPr>
          <w:rFonts w:ascii="Arial" w:hAnsi="Arial" w:cs="Arial"/>
        </w:rPr>
        <w:t xml:space="preserve"> as far as is reasonably possible</w:t>
      </w:r>
      <w:r>
        <w:rPr>
          <w:rFonts w:ascii="Arial" w:hAnsi="Arial" w:cs="Arial"/>
        </w:rPr>
        <w:t>. In some circumstances, e.g</w:t>
      </w:r>
      <w:r w:rsidR="0041190F">
        <w:rPr>
          <w:rFonts w:ascii="Arial" w:hAnsi="Arial" w:cs="Arial"/>
        </w:rPr>
        <w:t>.</w:t>
      </w:r>
      <w:r w:rsidR="002274F6">
        <w:rPr>
          <w:rFonts w:ascii="Arial" w:hAnsi="Arial" w:cs="Arial"/>
        </w:rPr>
        <w:t xml:space="preserve"> for pupils</w:t>
      </w:r>
      <w:r>
        <w:rPr>
          <w:rFonts w:ascii="Arial" w:hAnsi="Arial" w:cs="Arial"/>
        </w:rPr>
        <w:t xml:space="preserve"> 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0CA5B903" w:rsidR="009D673F" w:rsidRDefault="009D673F" w:rsidP="00850DA3">
      <w:pPr>
        <w:spacing w:line="360" w:lineRule="auto"/>
        <w:jc w:val="both"/>
        <w:rPr>
          <w:rFonts w:ascii="Arial" w:hAnsi="Arial" w:cs="Arial"/>
        </w:rPr>
      </w:pPr>
      <w:r>
        <w:rPr>
          <w:rFonts w:ascii="Arial" w:hAnsi="Arial" w:cs="Arial"/>
        </w:rPr>
        <w:t xml:space="preserve">The cost of uniform should not prevent a family from applying for a place in our School nor prevent a child from attending. The use of branded items within the School Uniform Policy has been kept to a minimum. </w:t>
      </w:r>
    </w:p>
    <w:p w14:paraId="4CB76921" w14:textId="0432FBCA" w:rsidR="009D673F" w:rsidRDefault="009D673F" w:rsidP="00850DA3">
      <w:pPr>
        <w:spacing w:line="360" w:lineRule="auto"/>
        <w:jc w:val="both"/>
        <w:rPr>
          <w:rFonts w:ascii="Arial" w:hAnsi="Arial" w:cs="Arial"/>
        </w:rPr>
      </w:pPr>
      <w:r>
        <w:rPr>
          <w:rFonts w:ascii="Arial" w:hAnsi="Arial" w:cs="Arial"/>
        </w:rPr>
        <w:t>Second hand uniform items are available on request from the School.</w:t>
      </w:r>
      <w:r w:rsidR="002274F6">
        <w:rPr>
          <w:rFonts w:ascii="Arial" w:hAnsi="Arial" w:cs="Arial"/>
        </w:rPr>
        <w:t xml:space="preserve"> </w:t>
      </w:r>
      <w:r>
        <w:rPr>
          <w:rFonts w:ascii="Arial" w:hAnsi="Arial" w:cs="Arial"/>
        </w:rPr>
        <w:t xml:space="preserve"> The school will accept donations of second hand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period</w:t>
      </w:r>
      <w:r w:rsidR="002274F6">
        <w:rPr>
          <w:rFonts w:ascii="Arial" w:hAnsi="Arial" w:cs="Arial"/>
        </w:rPr>
        <w:t xml:space="preserve"> of time.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73048D94" w14:textId="4364926F" w:rsidR="009D673F" w:rsidRDefault="0017201F" w:rsidP="00850DA3">
      <w:pPr>
        <w:spacing w:line="360" w:lineRule="auto"/>
        <w:jc w:val="both"/>
        <w:rPr>
          <w:rFonts w:ascii="Arial" w:hAnsi="Arial" w:cs="Arial"/>
        </w:rPr>
      </w:pPr>
      <w:r>
        <w:rPr>
          <w:rFonts w:ascii="Arial" w:hAnsi="Arial" w:cs="Arial"/>
        </w:rPr>
        <w:t>The requirement to wear branded items of uniform has been kept to a minimum within our Uniform Policy</w:t>
      </w:r>
      <w:r w:rsidR="002274F6">
        <w:rPr>
          <w:rFonts w:ascii="Arial" w:hAnsi="Arial" w:cs="Arial"/>
        </w:rPr>
        <w:t>.</w:t>
      </w:r>
      <w:r>
        <w:rPr>
          <w:rFonts w:ascii="Arial" w:hAnsi="Arial" w:cs="Arial"/>
        </w:rPr>
        <w:t xml:space="preserve"> </w:t>
      </w:r>
    </w:p>
    <w:p w14:paraId="2FB0D138" w14:textId="32A38749" w:rsidR="0017201F" w:rsidRDefault="0017201F" w:rsidP="00850DA3">
      <w:pPr>
        <w:spacing w:line="360" w:lineRule="auto"/>
        <w:jc w:val="both"/>
        <w:rPr>
          <w:rFonts w:ascii="Arial" w:hAnsi="Arial" w:cs="Arial"/>
        </w:rPr>
      </w:pPr>
      <w:r>
        <w:rPr>
          <w:rFonts w:ascii="Arial" w:hAnsi="Arial" w:cs="Arial"/>
        </w:rPr>
        <w:t xml:space="preserve">The majority of unbranded uniform items e.g.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7CB5044A"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r w:rsidR="00451520">
        <w:rPr>
          <w:rFonts w:ascii="Arial" w:hAnsi="Arial" w:cs="Arial"/>
        </w:rPr>
        <w:t>Therefore t</w:t>
      </w:r>
      <w:r>
        <w:rPr>
          <w:rFonts w:ascii="Arial" w:hAnsi="Arial" w:cs="Arial"/>
        </w:rPr>
        <w:t xml:space="preserve">he use of branded items, and the range of different items of PE Kit </w:t>
      </w:r>
      <w:r w:rsidR="00451520">
        <w:rPr>
          <w:rFonts w:ascii="Arial" w:hAnsi="Arial" w:cs="Arial"/>
        </w:rPr>
        <w:t xml:space="preserve">in our Policy, </w:t>
      </w:r>
      <w:r>
        <w:rPr>
          <w:rFonts w:ascii="Arial" w:hAnsi="Arial" w:cs="Arial"/>
        </w:rPr>
        <w:t xml:space="preserve">will be kept as low as possible. </w:t>
      </w:r>
      <w:r w:rsidR="00D9770B">
        <w:rPr>
          <w:rFonts w:ascii="Arial" w:hAnsi="Arial" w:cs="Arial"/>
        </w:rPr>
        <w:t>For health and safety reasons hair should be tied back and jewellery removed. Swimming hats must be worn for swimming lessons. No bikinis or tankinis please.</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71995EF5" w:rsidR="0017201F" w:rsidRDefault="0017201F" w:rsidP="00850DA3">
      <w:pPr>
        <w:spacing w:line="360" w:lineRule="auto"/>
        <w:jc w:val="both"/>
        <w:rPr>
          <w:rFonts w:ascii="Arial" w:hAnsi="Arial" w:cs="Arial"/>
        </w:rPr>
      </w:pPr>
      <w:r>
        <w:rPr>
          <w:rFonts w:ascii="Arial" w:hAnsi="Arial" w:cs="Arial"/>
        </w:rPr>
        <w:t xml:space="preserve">Governors will review the school’s uniform suppliers at least every 5 years. In reviewing the suppliers, Governors will take into account the affordability of uniform as well as its quality and durability. The uniform supplier will be required to publish and operate their own complaint procedure in order to manage any parental concerns. </w:t>
      </w:r>
    </w:p>
    <w:p w14:paraId="23DCCCA6" w14:textId="39A7D79F" w:rsidR="0017201F" w:rsidRDefault="0017201F" w:rsidP="00850DA3">
      <w:pPr>
        <w:spacing w:line="360" w:lineRule="auto"/>
        <w:jc w:val="both"/>
        <w:rPr>
          <w:rFonts w:ascii="Arial" w:hAnsi="Arial" w:cs="Arial"/>
        </w:rPr>
      </w:pPr>
      <w:r>
        <w:rPr>
          <w:rFonts w:ascii="Arial" w:hAnsi="Arial" w:cs="Arial"/>
        </w:rPr>
        <w:lastRenderedPageBreak/>
        <w:t xml:space="preserve">Governors will take into account the accessibility of the provider, ensuring parents can arrange convenient </w:t>
      </w:r>
      <w:r w:rsidR="00451520">
        <w:rPr>
          <w:rFonts w:ascii="Arial" w:hAnsi="Arial" w:cs="Arial"/>
        </w:rPr>
        <w:t xml:space="preserve">ordering, </w:t>
      </w:r>
      <w:r>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t>Clarity</w:t>
      </w:r>
    </w:p>
    <w:p w14:paraId="3FB60810" w14:textId="68FCBC5C" w:rsidR="00BD2B2E" w:rsidRDefault="00BD2B2E" w:rsidP="00850DA3">
      <w:pPr>
        <w:spacing w:line="360" w:lineRule="auto"/>
        <w:jc w:val="both"/>
        <w:rPr>
          <w:rFonts w:ascii="Arial" w:hAnsi="Arial" w:cs="Arial"/>
        </w:rPr>
      </w:pPr>
      <w:r>
        <w:rPr>
          <w:rFonts w:ascii="Arial" w:hAnsi="Arial" w:cs="Arial"/>
        </w:rPr>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designated as such, and will minimise the use of ‘optional’ uniform items. The school will also ensure that branded items, or those which have to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School to seek clarification of the rules prior to committing to purchase. The School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e.g.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67B967E8" w:rsidR="009D673F" w:rsidRDefault="00BD2B2E" w:rsidP="00850DA3">
      <w:pPr>
        <w:spacing w:line="360" w:lineRule="auto"/>
        <w:jc w:val="both"/>
        <w:rPr>
          <w:rFonts w:ascii="Arial" w:hAnsi="Arial" w:cs="Arial"/>
        </w:rPr>
      </w:pPr>
      <w:r>
        <w:rPr>
          <w:rFonts w:ascii="Arial" w:hAnsi="Arial" w:cs="Arial"/>
        </w:rPr>
        <w:t xml:space="preserve">Where financial hardship has resulted in a student not complying with the school’s published rules on uniform or appearance, then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e.g. a disability, then the School will ensure that all staff are aware. This includes, wherever possible, supply and temporary staff. This is to minimise the occasions on which a student is challenged about their uniform or appearance. </w:t>
      </w: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t>Concerns and complaints</w:t>
      </w:r>
    </w:p>
    <w:p w14:paraId="1D6476EE" w14:textId="77777777" w:rsidR="008A63E3" w:rsidRDefault="008A63E3" w:rsidP="008A63E3">
      <w:pPr>
        <w:spacing w:line="360" w:lineRule="auto"/>
        <w:jc w:val="both"/>
        <w:rPr>
          <w:rFonts w:ascii="Arial" w:hAnsi="Arial" w:cs="Arial"/>
        </w:rPr>
      </w:pPr>
      <w:r>
        <w:rPr>
          <w:rFonts w:ascii="Arial" w:hAnsi="Arial" w:cs="Arial"/>
        </w:rPr>
        <w:lastRenderedPageBreak/>
        <w:t xml:space="preserve">In line with the TPAT Complaint Procedure, parents with a concern about this policy, or the implementation of the Uniform Policy, should first contact the school and seek to resolve this concern informally. Where an acceptable resolution cannot be agreed, parents should follow the Complaint Procedure, available on the school website. Hard copies of the Complaint Policy are available on request from Reception. </w:t>
      </w:r>
    </w:p>
    <w:p w14:paraId="7A1BDB25" w14:textId="77777777" w:rsidR="00BD2B2E" w:rsidRDefault="00BD2B2E" w:rsidP="00850DA3">
      <w:pPr>
        <w:spacing w:line="360" w:lineRule="auto"/>
        <w:jc w:val="both"/>
        <w:rPr>
          <w:rFonts w:ascii="Arial" w:hAnsi="Arial" w:cs="Arial"/>
        </w:rPr>
      </w:pPr>
    </w:p>
    <w:p w14:paraId="558B1E7A" w14:textId="77777777" w:rsidR="00BD2B2E" w:rsidRDefault="00BD2B2E" w:rsidP="00850DA3">
      <w:pPr>
        <w:spacing w:line="360" w:lineRule="auto"/>
        <w:jc w:val="both"/>
        <w:rPr>
          <w:rFonts w:ascii="Arial" w:hAnsi="Arial" w:cs="Arial"/>
        </w:rPr>
      </w:pPr>
    </w:p>
    <w:p w14:paraId="1179D91A" w14:textId="77777777" w:rsidR="00BD2B2E" w:rsidRDefault="00BD2B2E" w:rsidP="00850DA3">
      <w:pPr>
        <w:spacing w:line="360" w:lineRule="auto"/>
        <w:jc w:val="both"/>
        <w:rPr>
          <w:rFonts w:ascii="Arial" w:hAnsi="Arial" w:cs="Arial"/>
        </w:rPr>
      </w:pPr>
    </w:p>
    <w:p w14:paraId="772B08D0" w14:textId="77777777" w:rsidR="00B15A79" w:rsidRDefault="00B15A79" w:rsidP="00850DA3">
      <w:pPr>
        <w:spacing w:line="360" w:lineRule="auto"/>
        <w:jc w:val="both"/>
        <w:rPr>
          <w:rFonts w:ascii="Arial" w:hAnsi="Arial" w:cs="Arial"/>
        </w:rPr>
      </w:pPr>
    </w:p>
    <w:p w14:paraId="0D5F04A5" w14:textId="77777777" w:rsidR="00850DA3" w:rsidRPr="00850DA3" w:rsidRDefault="00850DA3" w:rsidP="00850DA3">
      <w:pPr>
        <w:spacing w:line="360" w:lineRule="auto"/>
        <w:jc w:val="both"/>
        <w:rPr>
          <w:rFonts w:ascii="Arial" w:hAnsi="Arial" w:cs="Arial"/>
        </w:rPr>
      </w:pPr>
    </w:p>
    <w:sectPr w:rsidR="00850DA3" w:rsidRPr="00850DA3" w:rsidSect="00CD020A">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C55D" w14:textId="77777777" w:rsidR="000D7C73" w:rsidRDefault="000D7C73" w:rsidP="000D4CF0">
      <w:pPr>
        <w:spacing w:after="0" w:line="240" w:lineRule="auto"/>
      </w:pPr>
      <w:r>
        <w:separator/>
      </w:r>
    </w:p>
  </w:endnote>
  <w:endnote w:type="continuationSeparator" w:id="0">
    <w:p w14:paraId="48F323AC" w14:textId="77777777" w:rsidR="000D7C73" w:rsidRDefault="000D7C73"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6DC5C663"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D12518">
              <w:rPr>
                <w:rFonts w:ascii="Arial" w:hAnsi="Arial" w:cs="Arial"/>
                <w:b/>
                <w:bCs/>
                <w:noProof/>
              </w:rPr>
              <w:t>1</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D12518">
              <w:rPr>
                <w:rFonts w:ascii="Arial" w:hAnsi="Arial" w:cs="Arial"/>
                <w:b/>
                <w:bCs/>
                <w:noProof/>
              </w:rPr>
              <w:t>1</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677D" w14:textId="77777777" w:rsidR="000D7C73" w:rsidRDefault="000D7C73" w:rsidP="000D4CF0">
      <w:pPr>
        <w:spacing w:after="0" w:line="240" w:lineRule="auto"/>
      </w:pPr>
      <w:r>
        <w:separator/>
      </w:r>
    </w:p>
  </w:footnote>
  <w:footnote w:type="continuationSeparator" w:id="0">
    <w:p w14:paraId="22DD34F8" w14:textId="77777777" w:rsidR="000D7C73" w:rsidRDefault="000D7C73" w:rsidP="000D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328653">
    <w:abstractNumId w:val="15"/>
  </w:num>
  <w:num w:numId="2" w16cid:durableId="72818931">
    <w:abstractNumId w:val="14"/>
  </w:num>
  <w:num w:numId="3" w16cid:durableId="22052687">
    <w:abstractNumId w:val="24"/>
  </w:num>
  <w:num w:numId="4" w16cid:durableId="527330656">
    <w:abstractNumId w:val="10"/>
  </w:num>
  <w:num w:numId="5" w16cid:durableId="1404912577">
    <w:abstractNumId w:val="31"/>
  </w:num>
  <w:num w:numId="6" w16cid:durableId="427697440">
    <w:abstractNumId w:val="17"/>
  </w:num>
  <w:num w:numId="7" w16cid:durableId="2170665">
    <w:abstractNumId w:val="2"/>
  </w:num>
  <w:num w:numId="8" w16cid:durableId="1310944567">
    <w:abstractNumId w:val="13"/>
  </w:num>
  <w:num w:numId="9" w16cid:durableId="83039393">
    <w:abstractNumId w:val="33"/>
  </w:num>
  <w:num w:numId="10" w16cid:durableId="6640200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0144861">
    <w:abstractNumId w:val="29"/>
  </w:num>
  <w:num w:numId="12" w16cid:durableId="909312997">
    <w:abstractNumId w:val="7"/>
  </w:num>
  <w:num w:numId="13" w16cid:durableId="485828382">
    <w:abstractNumId w:val="22"/>
  </w:num>
  <w:num w:numId="14" w16cid:durableId="891425821">
    <w:abstractNumId w:val="9"/>
  </w:num>
  <w:num w:numId="15" w16cid:durableId="2009474631">
    <w:abstractNumId w:val="18"/>
  </w:num>
  <w:num w:numId="16" w16cid:durableId="848524614">
    <w:abstractNumId w:val="6"/>
  </w:num>
  <w:num w:numId="17" w16cid:durableId="1063681902">
    <w:abstractNumId w:val="8"/>
  </w:num>
  <w:num w:numId="18" w16cid:durableId="630018754">
    <w:abstractNumId w:val="21"/>
  </w:num>
  <w:num w:numId="19" w16cid:durableId="1972249859">
    <w:abstractNumId w:val="27"/>
  </w:num>
  <w:num w:numId="20" w16cid:durableId="46539107">
    <w:abstractNumId w:val="23"/>
  </w:num>
  <w:num w:numId="21" w16cid:durableId="1058551092">
    <w:abstractNumId w:val="11"/>
  </w:num>
  <w:num w:numId="22" w16cid:durableId="719979089">
    <w:abstractNumId w:val="16"/>
  </w:num>
  <w:num w:numId="23" w16cid:durableId="1466115636">
    <w:abstractNumId w:val="5"/>
  </w:num>
  <w:num w:numId="24" w16cid:durableId="1401702">
    <w:abstractNumId w:val="0"/>
  </w:num>
  <w:num w:numId="25" w16cid:durableId="875850202">
    <w:abstractNumId w:val="3"/>
  </w:num>
  <w:num w:numId="26" w16cid:durableId="1055589367">
    <w:abstractNumId w:val="4"/>
  </w:num>
  <w:num w:numId="27" w16cid:durableId="384136269">
    <w:abstractNumId w:val="26"/>
  </w:num>
  <w:num w:numId="28" w16cid:durableId="1391686368">
    <w:abstractNumId w:val="25"/>
  </w:num>
  <w:num w:numId="29" w16cid:durableId="2090343174">
    <w:abstractNumId w:val="1"/>
  </w:num>
  <w:num w:numId="30" w16cid:durableId="588777360">
    <w:abstractNumId w:val="20"/>
  </w:num>
  <w:num w:numId="31" w16cid:durableId="1682002939">
    <w:abstractNumId w:val="30"/>
  </w:num>
  <w:num w:numId="32" w16cid:durableId="229852216">
    <w:abstractNumId w:val="28"/>
  </w:num>
  <w:num w:numId="33" w16cid:durableId="1416319177">
    <w:abstractNumId w:val="34"/>
  </w:num>
  <w:num w:numId="34" w16cid:durableId="1468082689">
    <w:abstractNumId w:val="19"/>
  </w:num>
  <w:num w:numId="35" w16cid:durableId="509376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94"/>
    <w:rsid w:val="000041D8"/>
    <w:rsid w:val="00006720"/>
    <w:rsid w:val="00022E8A"/>
    <w:rsid w:val="00044C84"/>
    <w:rsid w:val="000507BC"/>
    <w:rsid w:val="00053247"/>
    <w:rsid w:val="00057326"/>
    <w:rsid w:val="00070A4F"/>
    <w:rsid w:val="00077F2D"/>
    <w:rsid w:val="0008580F"/>
    <w:rsid w:val="000B248E"/>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274F6"/>
    <w:rsid w:val="002316BE"/>
    <w:rsid w:val="0025781A"/>
    <w:rsid w:val="002620DE"/>
    <w:rsid w:val="002648BD"/>
    <w:rsid w:val="0029218C"/>
    <w:rsid w:val="00297945"/>
    <w:rsid w:val="002A199D"/>
    <w:rsid w:val="002A2920"/>
    <w:rsid w:val="002A34B6"/>
    <w:rsid w:val="002C6236"/>
    <w:rsid w:val="002D13A3"/>
    <w:rsid w:val="002D1723"/>
    <w:rsid w:val="002E3B02"/>
    <w:rsid w:val="0030488C"/>
    <w:rsid w:val="00307B06"/>
    <w:rsid w:val="003119FE"/>
    <w:rsid w:val="00312704"/>
    <w:rsid w:val="00321F0A"/>
    <w:rsid w:val="0032329E"/>
    <w:rsid w:val="003337DE"/>
    <w:rsid w:val="003466F9"/>
    <w:rsid w:val="00363CC1"/>
    <w:rsid w:val="0036711E"/>
    <w:rsid w:val="00383AB8"/>
    <w:rsid w:val="003979A6"/>
    <w:rsid w:val="003A6BB4"/>
    <w:rsid w:val="003B3BCD"/>
    <w:rsid w:val="003F7943"/>
    <w:rsid w:val="0041190F"/>
    <w:rsid w:val="00420255"/>
    <w:rsid w:val="004265A0"/>
    <w:rsid w:val="00440323"/>
    <w:rsid w:val="00451520"/>
    <w:rsid w:val="00456C49"/>
    <w:rsid w:val="00465216"/>
    <w:rsid w:val="004818F0"/>
    <w:rsid w:val="004C550B"/>
    <w:rsid w:val="004C79D2"/>
    <w:rsid w:val="004D4A85"/>
    <w:rsid w:val="004E0BB3"/>
    <w:rsid w:val="005058DD"/>
    <w:rsid w:val="00507C97"/>
    <w:rsid w:val="005158F9"/>
    <w:rsid w:val="005172AE"/>
    <w:rsid w:val="005179B7"/>
    <w:rsid w:val="00523102"/>
    <w:rsid w:val="00537DC6"/>
    <w:rsid w:val="00567917"/>
    <w:rsid w:val="00573C5B"/>
    <w:rsid w:val="0058136A"/>
    <w:rsid w:val="00591149"/>
    <w:rsid w:val="00592C03"/>
    <w:rsid w:val="00596C82"/>
    <w:rsid w:val="005A6B25"/>
    <w:rsid w:val="005D50F2"/>
    <w:rsid w:val="005F6ED0"/>
    <w:rsid w:val="00636E1F"/>
    <w:rsid w:val="00641357"/>
    <w:rsid w:val="00653895"/>
    <w:rsid w:val="00655522"/>
    <w:rsid w:val="00664620"/>
    <w:rsid w:val="006661E4"/>
    <w:rsid w:val="00683075"/>
    <w:rsid w:val="00683B7B"/>
    <w:rsid w:val="006902B1"/>
    <w:rsid w:val="006A5307"/>
    <w:rsid w:val="006A77AD"/>
    <w:rsid w:val="006B4EA1"/>
    <w:rsid w:val="006C36D0"/>
    <w:rsid w:val="006C37EC"/>
    <w:rsid w:val="006C3FDE"/>
    <w:rsid w:val="006E7DC6"/>
    <w:rsid w:val="006F761E"/>
    <w:rsid w:val="00703A89"/>
    <w:rsid w:val="00720589"/>
    <w:rsid w:val="007253E6"/>
    <w:rsid w:val="007817B6"/>
    <w:rsid w:val="00784F91"/>
    <w:rsid w:val="00786D7A"/>
    <w:rsid w:val="0079130E"/>
    <w:rsid w:val="00795805"/>
    <w:rsid w:val="00795893"/>
    <w:rsid w:val="007A59C1"/>
    <w:rsid w:val="007C5954"/>
    <w:rsid w:val="00814A44"/>
    <w:rsid w:val="00850DA3"/>
    <w:rsid w:val="00853C1F"/>
    <w:rsid w:val="00891AC9"/>
    <w:rsid w:val="00893210"/>
    <w:rsid w:val="00895F60"/>
    <w:rsid w:val="008A63E3"/>
    <w:rsid w:val="008B5F12"/>
    <w:rsid w:val="008C0C7C"/>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E213E"/>
    <w:rsid w:val="009E3840"/>
    <w:rsid w:val="00A01503"/>
    <w:rsid w:val="00A22200"/>
    <w:rsid w:val="00A30F7B"/>
    <w:rsid w:val="00A33B26"/>
    <w:rsid w:val="00A502BC"/>
    <w:rsid w:val="00A67CDC"/>
    <w:rsid w:val="00AA160B"/>
    <w:rsid w:val="00AB342E"/>
    <w:rsid w:val="00AD5D29"/>
    <w:rsid w:val="00AE6B2F"/>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6E55"/>
    <w:rsid w:val="00C70E08"/>
    <w:rsid w:val="00C809D7"/>
    <w:rsid w:val="00C83F51"/>
    <w:rsid w:val="00C9595D"/>
    <w:rsid w:val="00CA0E04"/>
    <w:rsid w:val="00CA61F8"/>
    <w:rsid w:val="00CC3660"/>
    <w:rsid w:val="00CD020A"/>
    <w:rsid w:val="00CD547C"/>
    <w:rsid w:val="00D12518"/>
    <w:rsid w:val="00D37187"/>
    <w:rsid w:val="00D56372"/>
    <w:rsid w:val="00D918F8"/>
    <w:rsid w:val="00D91B97"/>
    <w:rsid w:val="00D92F4A"/>
    <w:rsid w:val="00D9770B"/>
    <w:rsid w:val="00DA3CF8"/>
    <w:rsid w:val="00DA4250"/>
    <w:rsid w:val="00DA5422"/>
    <w:rsid w:val="00DB0B94"/>
    <w:rsid w:val="00DF7F6B"/>
    <w:rsid w:val="00E21FD7"/>
    <w:rsid w:val="00E34BDC"/>
    <w:rsid w:val="00E3644B"/>
    <w:rsid w:val="00E36C99"/>
    <w:rsid w:val="00E42E5A"/>
    <w:rsid w:val="00E43B24"/>
    <w:rsid w:val="00E47DA9"/>
    <w:rsid w:val="00E93B2C"/>
    <w:rsid w:val="00EC2D79"/>
    <w:rsid w:val="00EC5FAF"/>
    <w:rsid w:val="00ED0078"/>
    <w:rsid w:val="00ED4359"/>
    <w:rsid w:val="00EE2A3E"/>
    <w:rsid w:val="00EF01E7"/>
    <w:rsid w:val="00F00EE1"/>
    <w:rsid w:val="00F15602"/>
    <w:rsid w:val="00F234FF"/>
    <w:rsid w:val="00F26672"/>
    <w:rsid w:val="00F42D55"/>
    <w:rsid w:val="00F44521"/>
    <w:rsid w:val="00F44A81"/>
    <w:rsid w:val="00F74EEB"/>
    <w:rsid w:val="00F7610F"/>
    <w:rsid w:val="00F90552"/>
    <w:rsid w:val="00FA6FF3"/>
    <w:rsid w:val="00FB18D3"/>
    <w:rsid w:val="00FE193F"/>
    <w:rsid w:val="00FE74C1"/>
    <w:rsid w:val="00FF113E"/>
    <w:rsid w:val="15AF5843"/>
    <w:rsid w:val="2324ADE2"/>
    <w:rsid w:val="4D2A64E4"/>
    <w:rsid w:val="5384A253"/>
    <w:rsid w:val="5960DA7E"/>
    <w:rsid w:val="6B6D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603CDA"/>
  <w15:docId w15:val="{9D6BA79E-2F4F-41D4-AA14-B97DF4DD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B1B2-D627-4F0C-ABD4-DA58D159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1482</Words>
  <Characters>7929</Characters>
  <Application>Microsoft Office Word</Application>
  <DocSecurity>0</DocSecurity>
  <Lines>66</Lines>
  <Paragraphs>18</Paragraphs>
  <ScaleCrop>false</ScaleCrop>
  <Company>Cornwall Council</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Harper</dc:creator>
  <cp:lastModifiedBy>Amanda Rundle</cp:lastModifiedBy>
  <cp:revision>3</cp:revision>
  <cp:lastPrinted>2022-10-03T10:46:00Z</cp:lastPrinted>
  <dcterms:created xsi:type="dcterms:W3CDTF">2022-10-03T10:46:00Z</dcterms:created>
  <dcterms:modified xsi:type="dcterms:W3CDTF">2022-10-03T10:46:00Z</dcterms:modified>
</cp:coreProperties>
</file>